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303488" w14:textId="55F0A9D3" w:rsidR="0084347E" w:rsidRPr="00BE10C9" w:rsidRDefault="00775C19" w:rsidP="00530E64">
            <w:pPr>
              <w:spacing w:before="0"/>
              <w:ind w:firstLineChars="100" w:firstLine="28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4. </w:t>
            </w:r>
            <w:r w:rsidRPr="00775C1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Financial Health of Vendor</w:t>
            </w:r>
            <w:r w:rsidR="0084347E" w:rsidRPr="00BE10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F52DC4" w14:paraId="7166D66C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15DEF163" w:rsidR="00F52DC4" w:rsidRPr="00412E2E" w:rsidRDefault="00775C19" w:rsidP="00775C19">
            <w:pPr>
              <w:ind w:firstLineChars="200" w:firstLine="442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775C19">
              <w:rPr>
                <w:rFonts w:ascii="Arial" w:hAnsi="Arial" w:cs="Arial"/>
                <w:b/>
                <w:bCs/>
                <w:color w:val="0070C0"/>
              </w:rPr>
              <w:t>Financial Health of Vendor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6C9C973" w14:textId="77777777" w:rsidR="00570667" w:rsidRDefault="00570667" w:rsidP="00FD3914">
            <w:pPr>
              <w:pStyle w:val="Head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1AFEF4" w14:textId="63EDEEAF" w:rsidR="00FD3914" w:rsidRDefault="00346296" w:rsidP="00FD3914">
            <w:pPr>
              <w:pStyle w:val="Head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b/>
                <w:color w:val="7030A0"/>
                <w:sz w:val="24"/>
              </w:rPr>
              <w:t>Accenture</w:t>
            </w:r>
            <w:r w:rsidRPr="009C554A">
              <w:rPr>
                <w:color w:val="7030A0"/>
                <w:sz w:val="24"/>
              </w:rPr>
              <w:t xml:space="preserve"> (</w:t>
            </w:r>
            <w:r w:rsidR="00A3342D">
              <w:rPr>
                <w:rFonts w:ascii="Arial Bold" w:hAnsi="Arial Bold"/>
                <w:b/>
                <w:color w:val="7030A0"/>
                <w:spacing w:val="-20"/>
                <w:sz w:val="24"/>
                <w:u w:color="FFFFFF" w:themeColor="background1"/>
              </w:rPr>
              <w:t>AC</w:t>
            </w:r>
            <w:r w:rsidR="00A3342D" w:rsidRPr="009C554A">
              <w:rPr>
                <w:sz w:val="24"/>
              </w:rPr>
              <w:t>)</w:t>
            </w:r>
            <w:r w:rsidRPr="009C554A">
              <w:rPr>
                <w:sz w:val="24"/>
              </w:rPr>
              <w:t xml:space="preserve"> </w:t>
            </w:r>
            <w:r w:rsidR="00FD3914" w:rsidRPr="00F442F8">
              <w:rPr>
                <w:rFonts w:ascii="Arial" w:hAnsi="Arial" w:cs="Arial"/>
                <w:color w:val="000000"/>
                <w:sz w:val="18"/>
                <w:szCs w:val="18"/>
              </w:rPr>
              <w:t>demonstrates robust liquidity ratios, ensuring they can meet their financial obligations and cover their debt.</w:t>
            </w:r>
          </w:p>
          <w:p w14:paraId="76B3931B" w14:textId="77777777" w:rsidR="00FD3914" w:rsidRPr="00F442F8" w:rsidRDefault="00FD3914" w:rsidP="00FD3914">
            <w:pPr>
              <w:pStyle w:val="Head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44FC48" w14:textId="3F604641" w:rsidR="00346296" w:rsidRPr="006D10D5" w:rsidRDefault="00346296" w:rsidP="00346296">
            <w:pPr>
              <w:pStyle w:val="Header"/>
              <w:jc w:val="center"/>
              <w:rPr>
                <w:color w:val="009E9A"/>
                <w:sz w:val="24"/>
              </w:rPr>
            </w:pPr>
            <w:r>
              <w:rPr>
                <w:b/>
                <w:color w:val="009E9A"/>
                <w:sz w:val="24"/>
              </w:rPr>
              <w:t>Deloitte</w:t>
            </w:r>
            <w:r w:rsidRPr="006D10D5">
              <w:rPr>
                <w:color w:val="009E9A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009E9A"/>
                <w:spacing w:val="-20"/>
                <w:sz w:val="24"/>
                <w:u w:color="FFFFFF" w:themeColor="background1"/>
              </w:rPr>
              <w:t>DE</w:t>
            </w:r>
            <w:r w:rsidR="00A3342D" w:rsidRPr="006D10D5">
              <w:rPr>
                <w:color w:val="009E9A"/>
                <w:sz w:val="24"/>
              </w:rPr>
              <w:t>)</w:t>
            </w:r>
            <w:r w:rsidR="00A3342D">
              <w:rPr>
                <w:color w:val="009E9A"/>
                <w:sz w:val="24"/>
              </w:rPr>
              <w:t>,</w:t>
            </w:r>
          </w:p>
          <w:p w14:paraId="0B8F4D4C" w14:textId="7928E4EA" w:rsidR="00346296" w:rsidRDefault="00346296" w:rsidP="00346296">
            <w:pPr>
              <w:pStyle w:val="Header"/>
              <w:jc w:val="center"/>
              <w:rPr>
                <w:color w:val="003399"/>
                <w:sz w:val="24"/>
              </w:rPr>
            </w:pPr>
            <w:r w:rsidRPr="00B02F39">
              <w:rPr>
                <w:b/>
                <w:color w:val="0070C0"/>
                <w:sz w:val="24"/>
              </w:rPr>
              <w:t>Consultants Consortium</w:t>
            </w:r>
            <w:r w:rsidRPr="00B02F39">
              <w:rPr>
                <w:color w:val="0070C0"/>
                <w:sz w:val="24"/>
              </w:rPr>
              <w:t xml:space="preserve"> (</w:t>
            </w:r>
            <w:r w:rsidR="00A3342D" w:rsidRPr="00A3342D">
              <w:rPr>
                <w:rFonts w:ascii="Arial" w:hAnsi="Arial" w:cs="Arial"/>
                <w:b/>
                <w:bCs/>
                <w:color w:val="0070C0"/>
                <w:sz w:val="24"/>
              </w:rPr>
              <w:t>T</w:t>
            </w:r>
            <w:r w:rsidRPr="00B02F39">
              <w:rPr>
                <w:rFonts w:ascii="Arial Bold" w:hAnsi="Arial Bold"/>
                <w:b/>
                <w:color w:val="0070C0"/>
                <w:spacing w:val="-20"/>
                <w:sz w:val="24"/>
                <w:u w:color="FFFFFF" w:themeColor="background1"/>
              </w:rPr>
              <w:t>CC</w:t>
            </w:r>
            <w:r w:rsidRPr="00B02F39">
              <w:rPr>
                <w:color w:val="0070C0"/>
                <w:sz w:val="24"/>
              </w:rPr>
              <w:t>)</w:t>
            </w:r>
          </w:p>
          <w:p w14:paraId="621F630D" w14:textId="34B015E7" w:rsidR="00FD3914" w:rsidRDefault="00FD3914" w:rsidP="00FD3914">
            <w:pPr>
              <w:pStyle w:val="Head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42F8">
              <w:rPr>
                <w:rFonts w:ascii="Arial" w:hAnsi="Arial" w:cs="Arial"/>
                <w:color w:val="000000"/>
                <w:sz w:val="18"/>
                <w:szCs w:val="18"/>
              </w:rPr>
              <w:t>also exhibit strong liquidity ratios, reducing the risk of loan default, even if interest rates were to rise suddenly.</w:t>
            </w:r>
          </w:p>
          <w:p w14:paraId="39886DF3" w14:textId="77777777" w:rsidR="00F52DC4" w:rsidRDefault="00F52DC4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A9554E" w14:textId="5F2D3925" w:rsidR="00E506A4" w:rsidRDefault="00A3342D" w:rsidP="00E506A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b/>
                <w:color w:val="7030A0"/>
                <w:sz w:val="24"/>
              </w:rPr>
              <w:t>Accenture</w:t>
            </w:r>
            <w:r w:rsidRPr="009C554A">
              <w:rPr>
                <w:color w:val="7030A0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7030A0"/>
                <w:spacing w:val="-20"/>
                <w:sz w:val="24"/>
                <w:u w:color="FFFFFF" w:themeColor="background1"/>
              </w:rPr>
              <w:t>AC</w:t>
            </w:r>
            <w:r w:rsidRPr="009C554A">
              <w:rPr>
                <w:sz w:val="24"/>
              </w:rPr>
              <w:t xml:space="preserve">), </w:t>
            </w:r>
            <w:r w:rsidR="00E506A4" w:rsidRPr="00F442F8">
              <w:rPr>
                <w:rFonts w:ascii="Arial" w:hAnsi="Arial" w:cs="Arial"/>
                <w:color w:val="000000"/>
                <w:sz w:val="18"/>
                <w:szCs w:val="18"/>
              </w:rPr>
              <w:t>faces challenges as its operating cash flow margin falls below the target used in the analysis, indicating potential cash flow issues.</w:t>
            </w:r>
          </w:p>
          <w:p w14:paraId="23799ED1" w14:textId="77777777" w:rsidR="00A3342D" w:rsidRDefault="00A3342D" w:rsidP="00E506A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C9186C6" w14:textId="77777777" w:rsidR="00A3342D" w:rsidRPr="00F442F8" w:rsidRDefault="00A3342D" w:rsidP="00E506A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EED852" w14:textId="20CE76CC" w:rsidR="00F52DC4" w:rsidRPr="00A3342D" w:rsidRDefault="00A3342D" w:rsidP="00A3342D">
            <w:pPr>
              <w:pStyle w:val="Header"/>
              <w:jc w:val="center"/>
              <w:rPr>
                <w:color w:val="003399"/>
                <w:sz w:val="24"/>
              </w:rPr>
            </w:pPr>
            <w:r w:rsidRPr="00B02F39">
              <w:rPr>
                <w:b/>
                <w:color w:val="0070C0"/>
                <w:sz w:val="24"/>
              </w:rPr>
              <w:t>Consultants Consortium</w:t>
            </w:r>
            <w:r w:rsidRPr="00B02F39">
              <w:rPr>
                <w:color w:val="0070C0"/>
                <w:sz w:val="24"/>
              </w:rPr>
              <w:t xml:space="preserve"> (</w:t>
            </w:r>
            <w:r w:rsidRPr="00A3342D">
              <w:rPr>
                <w:rFonts w:ascii="Arial" w:hAnsi="Arial" w:cs="Arial"/>
                <w:b/>
                <w:bCs/>
                <w:color w:val="0070C0"/>
                <w:sz w:val="24"/>
              </w:rPr>
              <w:t>T</w:t>
            </w:r>
            <w:r w:rsidRPr="00B02F39">
              <w:rPr>
                <w:rFonts w:ascii="Arial Bold" w:hAnsi="Arial Bold"/>
                <w:b/>
                <w:color w:val="0070C0"/>
                <w:spacing w:val="-20"/>
                <w:sz w:val="24"/>
                <w:u w:color="FFFFFF" w:themeColor="background1"/>
              </w:rPr>
              <w:t>CC</w:t>
            </w:r>
            <w:r w:rsidRPr="00B02F39">
              <w:rPr>
                <w:color w:val="0070C0"/>
                <w:sz w:val="24"/>
              </w:rPr>
              <w:t>)</w:t>
            </w:r>
            <w:r w:rsidR="00E506A4" w:rsidRPr="00F442F8">
              <w:rPr>
                <w:rFonts w:ascii="Arial" w:hAnsi="Arial" w:cs="Arial"/>
                <w:color w:val="000000"/>
                <w:sz w:val="18"/>
                <w:szCs w:val="18"/>
              </w:rPr>
              <w:t>struggle with liquidity measures, with certain ratios not meeting internal targets, raising concerns about their ability to cover short-term obligations.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4DB7F" w14:textId="0362A69E" w:rsidR="005B1FDD" w:rsidRDefault="00A3342D" w:rsidP="005B1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b/>
                <w:color w:val="7030A0"/>
                <w:sz w:val="24"/>
              </w:rPr>
              <w:t>Accenture</w:t>
            </w:r>
            <w:r w:rsidRPr="009C554A">
              <w:rPr>
                <w:color w:val="7030A0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7030A0"/>
                <w:spacing w:val="-20"/>
                <w:sz w:val="24"/>
                <w:u w:color="FFFFFF" w:themeColor="background1"/>
              </w:rPr>
              <w:t>AC</w:t>
            </w:r>
            <w:r w:rsidRPr="009C554A">
              <w:rPr>
                <w:sz w:val="24"/>
              </w:rPr>
              <w:t>)</w:t>
            </w:r>
            <w:r w:rsidRPr="009C554A">
              <w:rPr>
                <w:sz w:val="24"/>
              </w:rPr>
              <w:t xml:space="preserve"> </w:t>
            </w:r>
            <w:r w:rsidR="005B1FDD" w:rsidRPr="00F442F8">
              <w:rPr>
                <w:rFonts w:ascii="Arial" w:hAnsi="Arial" w:cs="Arial"/>
                <w:color w:val="000000"/>
                <w:sz w:val="18"/>
                <w:szCs w:val="18"/>
              </w:rPr>
              <w:t>is at risk as its debt ratio and cash flow to debt ratio fail to meet analyst targets, with no positive trend observed.</w:t>
            </w:r>
          </w:p>
          <w:p w14:paraId="7BBADA20" w14:textId="77777777" w:rsidR="00A3342D" w:rsidRPr="00F442F8" w:rsidRDefault="00A3342D" w:rsidP="005B1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231DC6" w14:textId="77777777" w:rsidR="00A3342D" w:rsidRPr="006D10D5" w:rsidRDefault="00A3342D" w:rsidP="00A3342D">
            <w:pPr>
              <w:pStyle w:val="Header"/>
              <w:jc w:val="center"/>
              <w:rPr>
                <w:color w:val="009E9A"/>
                <w:sz w:val="24"/>
              </w:rPr>
            </w:pPr>
            <w:r>
              <w:rPr>
                <w:b/>
                <w:color w:val="009E9A"/>
                <w:sz w:val="24"/>
              </w:rPr>
              <w:t>Deloitte</w:t>
            </w:r>
            <w:r w:rsidRPr="006D10D5">
              <w:rPr>
                <w:color w:val="009E9A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009E9A"/>
                <w:spacing w:val="-20"/>
                <w:sz w:val="24"/>
                <w:u w:color="FFFFFF" w:themeColor="background1"/>
              </w:rPr>
              <w:t>DE</w:t>
            </w:r>
            <w:r w:rsidRPr="006D10D5">
              <w:rPr>
                <w:color w:val="009E9A"/>
                <w:sz w:val="24"/>
              </w:rPr>
              <w:t>)</w:t>
            </w:r>
          </w:p>
          <w:p w14:paraId="5CA55EB1" w14:textId="7466499E" w:rsidR="005B1FDD" w:rsidRPr="00F442F8" w:rsidRDefault="005B1FDD" w:rsidP="005B1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42F8">
              <w:rPr>
                <w:rFonts w:ascii="Arial" w:hAnsi="Arial" w:cs="Arial"/>
                <w:color w:val="000000"/>
                <w:sz w:val="18"/>
                <w:szCs w:val="18"/>
              </w:rPr>
              <w:t>risk profile is limited due to the vendor providing limited financial data for comprehensive analysis.</w:t>
            </w:r>
          </w:p>
          <w:p w14:paraId="454570FE" w14:textId="77777777" w:rsidR="00A3342D" w:rsidRDefault="00A3342D" w:rsidP="00A3342D">
            <w:pPr>
              <w:pStyle w:val="Header"/>
              <w:jc w:val="center"/>
              <w:rPr>
                <w:color w:val="003399"/>
                <w:sz w:val="24"/>
              </w:rPr>
            </w:pPr>
            <w:r w:rsidRPr="00B02F39">
              <w:rPr>
                <w:b/>
                <w:color w:val="0070C0"/>
                <w:sz w:val="24"/>
              </w:rPr>
              <w:t>Consultants Consortium</w:t>
            </w:r>
            <w:r w:rsidRPr="00B02F39">
              <w:rPr>
                <w:color w:val="0070C0"/>
                <w:sz w:val="24"/>
              </w:rPr>
              <w:t xml:space="preserve"> (</w:t>
            </w:r>
            <w:r w:rsidRPr="00A3342D">
              <w:rPr>
                <w:rFonts w:ascii="Arial" w:hAnsi="Arial" w:cs="Arial"/>
                <w:b/>
                <w:bCs/>
                <w:color w:val="0070C0"/>
                <w:sz w:val="24"/>
              </w:rPr>
              <w:t>T</w:t>
            </w:r>
            <w:r w:rsidRPr="00B02F39">
              <w:rPr>
                <w:rFonts w:ascii="Arial Bold" w:hAnsi="Arial Bold"/>
                <w:b/>
                <w:color w:val="0070C0"/>
                <w:spacing w:val="-20"/>
                <w:sz w:val="24"/>
                <w:u w:color="FFFFFF" w:themeColor="background1"/>
              </w:rPr>
              <w:t>CC</w:t>
            </w:r>
            <w:r w:rsidRPr="00B02F39">
              <w:rPr>
                <w:color w:val="0070C0"/>
                <w:sz w:val="24"/>
              </w:rPr>
              <w:t>)</w:t>
            </w:r>
          </w:p>
          <w:p w14:paraId="4F2E980C" w14:textId="545B151A" w:rsidR="005B1FDD" w:rsidRPr="00F442F8" w:rsidRDefault="005B1FDD" w:rsidP="005B1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42F8">
              <w:rPr>
                <w:rFonts w:ascii="Arial" w:hAnsi="Arial" w:cs="Arial"/>
                <w:color w:val="000000"/>
                <w:sz w:val="18"/>
                <w:szCs w:val="18"/>
              </w:rPr>
              <w:t>experienced significant drops in net income and operating profit in the most recent year, along with inconsistent liquidity measurement ratios, increasing the risk of default, especially if interest rates rise.</w:t>
            </w:r>
          </w:p>
          <w:p w14:paraId="02EDA1DA" w14:textId="7ACBD5C7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2519" w14:textId="77777777" w:rsidR="00E1240D" w:rsidRDefault="00E1240D" w:rsidP="002735D5">
      <w:pPr>
        <w:spacing w:before="0"/>
      </w:pPr>
      <w:r>
        <w:separator/>
      </w:r>
    </w:p>
  </w:endnote>
  <w:endnote w:type="continuationSeparator" w:id="0">
    <w:p w14:paraId="03492BEE" w14:textId="77777777" w:rsidR="00E1240D" w:rsidRDefault="00E1240D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897F" w14:textId="77777777" w:rsidR="00E1240D" w:rsidRDefault="00E1240D" w:rsidP="002735D5">
      <w:pPr>
        <w:spacing w:before="0"/>
      </w:pPr>
      <w:r>
        <w:separator/>
      </w:r>
    </w:p>
  </w:footnote>
  <w:footnote w:type="continuationSeparator" w:id="0">
    <w:p w14:paraId="67481B17" w14:textId="77777777" w:rsidR="00E1240D" w:rsidRDefault="00E1240D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64F6EB7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  <w:r w:rsidR="00570667">
      <w:rPr>
        <w:color w:val="009E9A"/>
        <w:sz w:val="24"/>
      </w:rPr>
      <w:t>,</w:t>
    </w:r>
  </w:p>
  <w:p w14:paraId="70D1B97E" w14:textId="535452BC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3402F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46296"/>
    <w:rsid w:val="003857F6"/>
    <w:rsid w:val="00394BFF"/>
    <w:rsid w:val="003B3116"/>
    <w:rsid w:val="003B5C60"/>
    <w:rsid w:val="003E7F79"/>
    <w:rsid w:val="00412E2E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0667"/>
    <w:rsid w:val="0057673F"/>
    <w:rsid w:val="005A586D"/>
    <w:rsid w:val="005B1FD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75C19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3342D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959E9"/>
    <w:rsid w:val="00DA61F7"/>
    <w:rsid w:val="00DE7457"/>
    <w:rsid w:val="00DF25E3"/>
    <w:rsid w:val="00E1240D"/>
    <w:rsid w:val="00E135B4"/>
    <w:rsid w:val="00E21817"/>
    <w:rsid w:val="00E506A4"/>
    <w:rsid w:val="00E57DA7"/>
    <w:rsid w:val="00EA2FCC"/>
    <w:rsid w:val="00F31DED"/>
    <w:rsid w:val="00F32948"/>
    <w:rsid w:val="00F52DC4"/>
    <w:rsid w:val="00F63C97"/>
    <w:rsid w:val="00F729E4"/>
    <w:rsid w:val="00FA55FD"/>
    <w:rsid w:val="00FC55CC"/>
    <w:rsid w:val="00FD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Props1.xml><?xml version="1.0" encoding="utf-8"?>
<ds:datastoreItem xmlns:ds="http://schemas.openxmlformats.org/officeDocument/2006/customXml" ds:itemID="{F7D1B3CC-ED2B-407F-9450-F0C4824628C4}"/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ed196476-3f60-4637-850c-e9cedbd97f92"/>
    <ds:schemaRef ds:uri="2abb1037-9db3-4746-8742-a797aea7bb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Sathaiahgari, Archana</cp:lastModifiedBy>
  <cp:revision>13</cp:revision>
  <cp:lastPrinted>2018-10-18T19:21:00Z</cp:lastPrinted>
  <dcterms:created xsi:type="dcterms:W3CDTF">2023-09-07T15:32:00Z</dcterms:created>
  <dcterms:modified xsi:type="dcterms:W3CDTF">2023-10-09T16:52:00Z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